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34CF" w:rsidRPr="00B534CF" w:rsidRDefault="00B534CF" w:rsidP="00091F76">
      <w:pPr>
        <w:tabs>
          <w:tab w:val="left" w:pos="2205"/>
        </w:tabs>
        <w:spacing w:after="0" w:line="480" w:lineRule="auto"/>
        <w:contextualSpacing/>
        <w:jc w:val="both"/>
        <w:rPr>
          <w:rFonts w:ascii="Times New Roman" w:hAnsi="Times New Roman" w:cs="Times New Roman"/>
          <w:sz w:val="24"/>
          <w:szCs w:val="24"/>
        </w:rPr>
      </w:pPr>
    </w:p>
    <w:p w:rsidR="00B534CF" w:rsidRDefault="00B534CF" w:rsidP="00091F76">
      <w:pPr>
        <w:tabs>
          <w:tab w:val="left" w:pos="2205"/>
        </w:tabs>
        <w:spacing w:after="0" w:line="480" w:lineRule="auto"/>
        <w:contextualSpacing/>
        <w:jc w:val="both"/>
        <w:rPr>
          <w:rFonts w:ascii="Times New Roman" w:hAnsi="Times New Roman" w:cs="Times New Roman"/>
          <w:sz w:val="24"/>
          <w:szCs w:val="24"/>
        </w:rPr>
      </w:pPr>
    </w:p>
    <w:p w:rsidR="00091F76" w:rsidRDefault="00091F76" w:rsidP="00091F76">
      <w:pPr>
        <w:tabs>
          <w:tab w:val="left" w:pos="2205"/>
        </w:tabs>
        <w:spacing w:after="0" w:line="480" w:lineRule="auto"/>
        <w:contextualSpacing/>
        <w:jc w:val="both"/>
        <w:rPr>
          <w:rFonts w:ascii="Times New Roman" w:hAnsi="Times New Roman" w:cs="Times New Roman"/>
          <w:sz w:val="24"/>
          <w:szCs w:val="24"/>
        </w:rPr>
      </w:pPr>
    </w:p>
    <w:p w:rsidR="00091F76" w:rsidRDefault="00091F76" w:rsidP="00091F76">
      <w:pPr>
        <w:tabs>
          <w:tab w:val="left" w:pos="2205"/>
        </w:tabs>
        <w:spacing w:after="0" w:line="480" w:lineRule="auto"/>
        <w:contextualSpacing/>
        <w:jc w:val="both"/>
        <w:rPr>
          <w:rFonts w:ascii="Times New Roman" w:hAnsi="Times New Roman" w:cs="Times New Roman"/>
          <w:sz w:val="24"/>
          <w:szCs w:val="24"/>
        </w:rPr>
      </w:pPr>
    </w:p>
    <w:p w:rsidR="00091F76" w:rsidRDefault="00091F76" w:rsidP="00091F76">
      <w:pPr>
        <w:tabs>
          <w:tab w:val="left" w:pos="2205"/>
        </w:tabs>
        <w:spacing w:after="0" w:line="480" w:lineRule="auto"/>
        <w:contextualSpacing/>
        <w:jc w:val="both"/>
        <w:rPr>
          <w:rFonts w:ascii="Times New Roman" w:hAnsi="Times New Roman" w:cs="Times New Roman"/>
          <w:sz w:val="24"/>
          <w:szCs w:val="24"/>
        </w:rPr>
      </w:pPr>
    </w:p>
    <w:p w:rsidR="00091F76" w:rsidRDefault="00091F76" w:rsidP="00091F76">
      <w:pPr>
        <w:tabs>
          <w:tab w:val="left" w:pos="2205"/>
        </w:tabs>
        <w:spacing w:after="0" w:line="480" w:lineRule="auto"/>
        <w:contextualSpacing/>
        <w:jc w:val="both"/>
        <w:rPr>
          <w:rFonts w:ascii="Times New Roman" w:hAnsi="Times New Roman" w:cs="Times New Roman"/>
          <w:sz w:val="24"/>
          <w:szCs w:val="24"/>
        </w:rPr>
      </w:pPr>
    </w:p>
    <w:p w:rsidR="00091F76" w:rsidRDefault="00091F76" w:rsidP="00091F76">
      <w:pPr>
        <w:tabs>
          <w:tab w:val="left" w:pos="2205"/>
        </w:tabs>
        <w:spacing w:after="0" w:line="480" w:lineRule="auto"/>
        <w:contextualSpacing/>
        <w:jc w:val="both"/>
        <w:rPr>
          <w:rFonts w:ascii="Times New Roman" w:hAnsi="Times New Roman" w:cs="Times New Roman"/>
          <w:sz w:val="24"/>
          <w:szCs w:val="24"/>
        </w:rPr>
      </w:pPr>
    </w:p>
    <w:p w:rsidR="00091F76" w:rsidRPr="00B534CF" w:rsidRDefault="00091F76" w:rsidP="00091F76">
      <w:pPr>
        <w:tabs>
          <w:tab w:val="left" w:pos="2205"/>
        </w:tabs>
        <w:spacing w:after="0" w:line="480" w:lineRule="auto"/>
        <w:contextualSpacing/>
        <w:jc w:val="both"/>
        <w:rPr>
          <w:rFonts w:ascii="Times New Roman" w:hAnsi="Times New Roman" w:cs="Times New Roman"/>
          <w:sz w:val="24"/>
          <w:szCs w:val="24"/>
        </w:rPr>
      </w:pPr>
    </w:p>
    <w:p w:rsidR="00B534CF" w:rsidRPr="00B534CF" w:rsidRDefault="00B534CF" w:rsidP="00091F76">
      <w:pPr>
        <w:tabs>
          <w:tab w:val="left" w:pos="2205"/>
        </w:tabs>
        <w:spacing w:after="0" w:line="480" w:lineRule="auto"/>
        <w:contextualSpacing/>
        <w:jc w:val="both"/>
        <w:rPr>
          <w:rFonts w:ascii="Times New Roman" w:hAnsi="Times New Roman" w:cs="Times New Roman"/>
          <w:sz w:val="24"/>
          <w:szCs w:val="24"/>
        </w:rPr>
      </w:pPr>
    </w:p>
    <w:p w:rsidR="00B534CF" w:rsidRPr="00B534CF" w:rsidRDefault="000A1022" w:rsidP="00091F76">
      <w:pPr>
        <w:tabs>
          <w:tab w:val="left" w:pos="2205"/>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Workforce D</w:t>
      </w:r>
      <w:bookmarkStart w:id="0" w:name="_GoBack"/>
      <w:bookmarkEnd w:id="0"/>
      <w:r w:rsidR="00B534CF" w:rsidRPr="00B534CF">
        <w:rPr>
          <w:rFonts w:ascii="Times New Roman" w:hAnsi="Times New Roman" w:cs="Times New Roman"/>
          <w:sz w:val="24"/>
          <w:szCs w:val="24"/>
        </w:rPr>
        <w:t>iversity</w:t>
      </w:r>
    </w:p>
    <w:p w:rsidR="00B534CF" w:rsidRPr="00B534CF" w:rsidRDefault="00091F76" w:rsidP="00091F76">
      <w:pPr>
        <w:tabs>
          <w:tab w:val="left" w:pos="2205"/>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w:t>
      </w:r>
      <w:r w:rsidR="00B534CF" w:rsidRPr="00B534CF">
        <w:rPr>
          <w:rFonts w:ascii="Times New Roman" w:hAnsi="Times New Roman" w:cs="Times New Roman"/>
          <w:sz w:val="24"/>
          <w:szCs w:val="24"/>
        </w:rPr>
        <w:t>ame</w:t>
      </w:r>
    </w:p>
    <w:p w:rsidR="00B534CF" w:rsidRPr="00B534CF" w:rsidRDefault="00B534CF" w:rsidP="00091F76">
      <w:pPr>
        <w:tabs>
          <w:tab w:val="left" w:pos="2205"/>
        </w:tabs>
        <w:spacing w:after="0" w:line="480" w:lineRule="auto"/>
        <w:contextualSpacing/>
        <w:jc w:val="center"/>
        <w:rPr>
          <w:rFonts w:ascii="Times New Roman" w:hAnsi="Times New Roman" w:cs="Times New Roman"/>
          <w:sz w:val="24"/>
          <w:szCs w:val="24"/>
        </w:rPr>
      </w:pPr>
      <w:r w:rsidRPr="00B534CF">
        <w:rPr>
          <w:rFonts w:ascii="Times New Roman" w:hAnsi="Times New Roman" w:cs="Times New Roman"/>
          <w:sz w:val="24"/>
          <w:szCs w:val="24"/>
        </w:rPr>
        <w:t>Institution</w:t>
      </w:r>
      <w:r w:rsidR="00091F76">
        <w:rPr>
          <w:rFonts w:ascii="Times New Roman" w:hAnsi="Times New Roman" w:cs="Times New Roman"/>
          <w:sz w:val="24"/>
          <w:szCs w:val="24"/>
        </w:rPr>
        <w:t>al Affiliation</w:t>
      </w:r>
    </w:p>
    <w:p w:rsidR="00B534CF" w:rsidRPr="00B534CF" w:rsidRDefault="00B534CF" w:rsidP="00091F76">
      <w:pPr>
        <w:tabs>
          <w:tab w:val="left" w:pos="2205"/>
        </w:tabs>
        <w:spacing w:after="0" w:line="480" w:lineRule="auto"/>
        <w:contextualSpacing/>
        <w:jc w:val="center"/>
        <w:rPr>
          <w:rFonts w:ascii="Times New Roman" w:hAnsi="Times New Roman" w:cs="Times New Roman"/>
          <w:sz w:val="24"/>
          <w:szCs w:val="24"/>
        </w:rPr>
      </w:pPr>
    </w:p>
    <w:p w:rsidR="00B534CF" w:rsidRPr="00B534CF" w:rsidRDefault="00B534CF" w:rsidP="00091F76">
      <w:pPr>
        <w:tabs>
          <w:tab w:val="left" w:pos="2205"/>
        </w:tabs>
        <w:spacing w:after="0" w:line="480" w:lineRule="auto"/>
        <w:contextualSpacing/>
        <w:jc w:val="center"/>
        <w:rPr>
          <w:rFonts w:ascii="Times New Roman" w:hAnsi="Times New Roman" w:cs="Times New Roman"/>
          <w:sz w:val="24"/>
          <w:szCs w:val="24"/>
        </w:rPr>
      </w:pPr>
    </w:p>
    <w:p w:rsidR="00091F76" w:rsidRDefault="00091F76">
      <w:pPr>
        <w:rPr>
          <w:rFonts w:ascii="Times New Roman" w:hAnsi="Times New Roman" w:cs="Times New Roman"/>
          <w:sz w:val="24"/>
          <w:szCs w:val="24"/>
        </w:rPr>
      </w:pPr>
      <w:r>
        <w:rPr>
          <w:rFonts w:ascii="Times New Roman" w:hAnsi="Times New Roman" w:cs="Times New Roman"/>
          <w:sz w:val="24"/>
          <w:szCs w:val="24"/>
        </w:rPr>
        <w:br w:type="page"/>
      </w:r>
    </w:p>
    <w:p w:rsidR="00B534CF" w:rsidRPr="00091F76" w:rsidRDefault="000A1022" w:rsidP="000A1022">
      <w:pPr>
        <w:tabs>
          <w:tab w:val="left" w:pos="2205"/>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Workforce D</w:t>
      </w:r>
      <w:r w:rsidR="00B534CF" w:rsidRPr="00091F76">
        <w:rPr>
          <w:rFonts w:ascii="Times New Roman" w:hAnsi="Times New Roman" w:cs="Times New Roman"/>
          <w:sz w:val="24"/>
          <w:szCs w:val="24"/>
        </w:rPr>
        <w:t>iversity</w:t>
      </w:r>
    </w:p>
    <w:p w:rsidR="00091F76" w:rsidRPr="00091F76" w:rsidRDefault="00091F76" w:rsidP="000A1022">
      <w:pPr>
        <w:tabs>
          <w:tab w:val="left" w:pos="2205"/>
        </w:tabs>
        <w:spacing w:after="0" w:line="480" w:lineRule="auto"/>
        <w:ind w:firstLine="720"/>
        <w:contextualSpacing/>
        <w:jc w:val="both"/>
        <w:rPr>
          <w:rFonts w:ascii="Times New Roman" w:hAnsi="Times New Roman" w:cs="Times New Roman"/>
          <w:sz w:val="24"/>
          <w:szCs w:val="24"/>
        </w:rPr>
      </w:pPr>
      <w:r w:rsidRPr="00091F76">
        <w:rPr>
          <w:rFonts w:ascii="Times New Roman" w:hAnsi="Times New Roman" w:cs="Times New Roman"/>
          <w:sz w:val="24"/>
          <w:szCs w:val="24"/>
        </w:rPr>
        <w:t xml:space="preserve">Workforce diversity is a function of differences and similarities in an organization. It is marked by differences in age, gender, race, heritage, mental and physical diversities among others (Cho, 2017). It can, therefore, be said that workforce diversities comprise a multigenerational environment made up of male and female genders, the old the middle age, the millennial, Africans, and Europeans. The existence of this composition in a workplace requires a human resource manager to be very cautious when addresses their matters. For example, it happens that the current organizations operate on a technology basis. The millennial and the middle-aged diversities are quite familiar with the new technology. </w:t>
      </w:r>
    </w:p>
    <w:p w:rsidR="00091F76" w:rsidRPr="00091F76" w:rsidRDefault="00091F76" w:rsidP="000A1022">
      <w:pPr>
        <w:tabs>
          <w:tab w:val="left" w:pos="2205"/>
        </w:tabs>
        <w:spacing w:after="0" w:line="480" w:lineRule="auto"/>
        <w:ind w:firstLine="720"/>
        <w:contextualSpacing/>
        <w:jc w:val="both"/>
        <w:rPr>
          <w:rFonts w:ascii="Times New Roman" w:hAnsi="Times New Roman" w:cs="Times New Roman"/>
          <w:sz w:val="24"/>
          <w:szCs w:val="24"/>
        </w:rPr>
      </w:pPr>
      <w:r w:rsidRPr="00091F76">
        <w:rPr>
          <w:rFonts w:ascii="Times New Roman" w:hAnsi="Times New Roman" w:cs="Times New Roman"/>
          <w:sz w:val="24"/>
          <w:szCs w:val="24"/>
        </w:rPr>
        <w:t xml:space="preserve">On the other hand, the old appear stuck with the technology, and their cognition challenges the trainer. Managing these people in a similar job encounter is one of the complexities facing human resource managers. Every diversity has a positive contribution to an organization. For example, the old is quite enriched with sophisticated knowledge that can be applied to enhance the growth of an organization. On the other hand, the millennial are fast on their operations and are also quick to learn and operate with the new technology. Since both diversities are essential in an organization, the human resource managers can address this diversity by allocating these people in a different functional location which suits all (Riccucci, 2018). For example, in a recruitment process, the old can be recruited as part of the management team while the millennial can be recruited as the functional group in the work premises such as offering services to customers. </w:t>
      </w:r>
    </w:p>
    <w:p w:rsidR="00091F76" w:rsidRPr="00091F76" w:rsidRDefault="00091F76" w:rsidP="000A1022">
      <w:pPr>
        <w:tabs>
          <w:tab w:val="left" w:pos="2205"/>
        </w:tabs>
        <w:spacing w:after="0" w:line="480" w:lineRule="auto"/>
        <w:ind w:firstLine="720"/>
        <w:contextualSpacing/>
        <w:jc w:val="both"/>
        <w:rPr>
          <w:rFonts w:ascii="Times New Roman" w:hAnsi="Times New Roman" w:cs="Times New Roman"/>
          <w:sz w:val="24"/>
          <w:szCs w:val="24"/>
        </w:rPr>
      </w:pPr>
      <w:r w:rsidRPr="00091F76">
        <w:rPr>
          <w:rFonts w:ascii="Times New Roman" w:hAnsi="Times New Roman" w:cs="Times New Roman"/>
          <w:sz w:val="24"/>
          <w:szCs w:val="24"/>
        </w:rPr>
        <w:t xml:space="preserve">The principal address about this is to allocate them differently and according to their area of best operation. About retaining their position for example in an encounter of technology change, this diversities can switch positions where possible, and this can enhance their retention </w:t>
      </w:r>
      <w:r w:rsidRPr="00091F76">
        <w:rPr>
          <w:rFonts w:ascii="Times New Roman" w:hAnsi="Times New Roman" w:cs="Times New Roman"/>
          <w:sz w:val="24"/>
          <w:szCs w:val="24"/>
        </w:rPr>
        <w:lastRenderedPageBreak/>
        <w:t xml:space="preserve">in the work premises. Generally, there are no legal ramifications of maintaining workforce diversities. It is only business ethics that keeps diversities in an organization and make them laws (Cho, 2017). These ethics include promotions based on merits and not gender age or race, work schedule based on personal ability, exercising honesty and embracing differences. For example, it is unethical to assign women in loading and offloading departments. Respect for this is an example of an ethic that respects gender differences. </w:t>
      </w:r>
    </w:p>
    <w:p w:rsidR="003D6573" w:rsidRDefault="00091F76" w:rsidP="000A1022">
      <w:pPr>
        <w:tabs>
          <w:tab w:val="left" w:pos="2205"/>
        </w:tabs>
        <w:spacing w:after="0" w:line="480" w:lineRule="auto"/>
        <w:ind w:firstLine="720"/>
        <w:contextualSpacing/>
        <w:jc w:val="both"/>
        <w:rPr>
          <w:rFonts w:ascii="Times New Roman" w:hAnsi="Times New Roman" w:cs="Times New Roman"/>
          <w:sz w:val="24"/>
          <w:szCs w:val="24"/>
        </w:rPr>
      </w:pPr>
      <w:r w:rsidRPr="00091F76">
        <w:rPr>
          <w:rFonts w:ascii="Times New Roman" w:hAnsi="Times New Roman" w:cs="Times New Roman"/>
          <w:sz w:val="24"/>
          <w:szCs w:val="24"/>
        </w:rPr>
        <w:t>Treating each diversity honestly and respectfully on dairy bases is what is termed as legal ramification. Fair competition can also be regarded as a legal ramification. For example, awarding men for a particular achievement in an organization can be a legal ramification if it is a result of hard work and fair competition. Healthcare organizations characterize components such as various minority programs regarding respect to offer equal healthcare opportunities. For example, the graduation of successful healthcare administrators in some countries is based on ethnicity and racial diversity (Riccucci, 2018). Therefore, it can be said that healthcare organizations tend to equalize health care opportunities for all people. For example, a white and African Healthcare CEO should earn an equal salary. For a healthcare organization, workforce diversity should relate to health equity because health status has no selection criteria. It is also a human life aspect which is a legal ramification. There is a relationship between workforce diversity and improvement of patient care since irrespective of the diversity, health care programs are legally entitled to benefit each and everybody's condition without favor. It is a legal ramification.</w:t>
      </w:r>
      <w:r w:rsidR="003D6573">
        <w:rPr>
          <w:rFonts w:ascii="Times New Roman" w:hAnsi="Times New Roman" w:cs="Times New Roman"/>
          <w:sz w:val="24"/>
          <w:szCs w:val="24"/>
        </w:rPr>
        <w:tab/>
      </w:r>
      <w:r w:rsidR="003D6573">
        <w:rPr>
          <w:rFonts w:ascii="Times New Roman" w:hAnsi="Times New Roman" w:cs="Times New Roman"/>
          <w:sz w:val="24"/>
          <w:szCs w:val="24"/>
        </w:rPr>
        <w:tab/>
      </w:r>
      <w:r w:rsidR="003D6573">
        <w:rPr>
          <w:rFonts w:ascii="Times New Roman" w:hAnsi="Times New Roman" w:cs="Times New Roman"/>
          <w:sz w:val="24"/>
          <w:szCs w:val="24"/>
        </w:rPr>
        <w:tab/>
      </w:r>
    </w:p>
    <w:p w:rsidR="003D6573" w:rsidRDefault="003D6573" w:rsidP="00091F76">
      <w:pPr>
        <w:tabs>
          <w:tab w:val="left" w:pos="2205"/>
        </w:tabs>
        <w:spacing w:after="0" w:line="480" w:lineRule="auto"/>
        <w:contextualSpacing/>
        <w:jc w:val="both"/>
        <w:rPr>
          <w:rFonts w:ascii="Times New Roman" w:hAnsi="Times New Roman" w:cs="Times New Roman"/>
          <w:sz w:val="24"/>
          <w:szCs w:val="24"/>
        </w:rPr>
      </w:pPr>
    </w:p>
    <w:p w:rsidR="00091F76" w:rsidRDefault="003C7DBE" w:rsidP="00091F76">
      <w:pPr>
        <w:tabs>
          <w:tab w:val="left" w:pos="2205"/>
        </w:tabs>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091F76" w:rsidRDefault="00091F76" w:rsidP="00091F76">
      <w:pPr>
        <w:tabs>
          <w:tab w:val="left" w:pos="2205"/>
        </w:tabs>
        <w:spacing w:after="0" w:line="480" w:lineRule="auto"/>
        <w:contextualSpacing/>
        <w:jc w:val="both"/>
        <w:rPr>
          <w:rFonts w:ascii="Times New Roman" w:hAnsi="Times New Roman" w:cs="Times New Roman"/>
          <w:sz w:val="24"/>
          <w:szCs w:val="24"/>
        </w:rPr>
      </w:pPr>
    </w:p>
    <w:p w:rsidR="003D6573" w:rsidRDefault="003D6573" w:rsidP="00091F76">
      <w:pPr>
        <w:tabs>
          <w:tab w:val="left" w:pos="2205"/>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D6573" w:rsidRPr="003C7DBE" w:rsidRDefault="003D6573" w:rsidP="00091F76">
      <w:pPr>
        <w:tabs>
          <w:tab w:val="left" w:pos="720"/>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3C7DBE">
        <w:rPr>
          <w:rFonts w:ascii="Times New Roman" w:hAnsi="Times New Roman" w:cs="Times New Roman"/>
          <w:color w:val="222222"/>
          <w:sz w:val="24"/>
          <w:szCs w:val="24"/>
          <w:shd w:val="clear" w:color="auto" w:fill="FFFFFF"/>
        </w:rPr>
        <w:t xml:space="preserve">Cho, E. (2017). Does diversity matter? </w:t>
      </w:r>
      <w:r w:rsidR="00091F76" w:rsidRPr="003C7DBE">
        <w:rPr>
          <w:rFonts w:ascii="Times New Roman" w:hAnsi="Times New Roman" w:cs="Times New Roman"/>
          <w:color w:val="222222"/>
          <w:sz w:val="24"/>
          <w:szCs w:val="24"/>
          <w:shd w:val="clear" w:color="auto" w:fill="FFFFFF"/>
        </w:rPr>
        <w:t>Exploring</w:t>
      </w:r>
      <w:r w:rsidRPr="003C7DBE">
        <w:rPr>
          <w:rFonts w:ascii="Times New Roman" w:hAnsi="Times New Roman" w:cs="Times New Roman"/>
          <w:color w:val="222222"/>
          <w:sz w:val="24"/>
          <w:szCs w:val="24"/>
          <w:shd w:val="clear" w:color="auto" w:fill="FFFFFF"/>
        </w:rPr>
        <w:t xml:space="preserve"> workforce diversity, diversity management, and organizational performance in social enterprises. </w:t>
      </w:r>
      <w:r w:rsidRPr="003C7DBE">
        <w:rPr>
          <w:rFonts w:ascii="Times New Roman" w:hAnsi="Times New Roman" w:cs="Times New Roman"/>
          <w:i/>
          <w:iCs/>
          <w:color w:val="222222"/>
          <w:sz w:val="24"/>
          <w:szCs w:val="24"/>
          <w:shd w:val="clear" w:color="auto" w:fill="FFFFFF"/>
        </w:rPr>
        <w:t>Asian Social Work and Policy Review</w:t>
      </w:r>
      <w:r w:rsidRPr="003C7DBE">
        <w:rPr>
          <w:rFonts w:ascii="Times New Roman" w:hAnsi="Times New Roman" w:cs="Times New Roman"/>
          <w:color w:val="222222"/>
          <w:sz w:val="24"/>
          <w:szCs w:val="24"/>
          <w:shd w:val="clear" w:color="auto" w:fill="FFFFFF"/>
        </w:rPr>
        <w:t>, </w:t>
      </w:r>
      <w:r w:rsidRPr="003C7DBE">
        <w:rPr>
          <w:rFonts w:ascii="Times New Roman" w:hAnsi="Times New Roman" w:cs="Times New Roman"/>
          <w:i/>
          <w:iCs/>
          <w:color w:val="222222"/>
          <w:sz w:val="24"/>
          <w:szCs w:val="24"/>
          <w:shd w:val="clear" w:color="auto" w:fill="FFFFFF"/>
        </w:rPr>
        <w:t>11</w:t>
      </w:r>
      <w:r w:rsidRPr="003C7DBE">
        <w:rPr>
          <w:rFonts w:ascii="Times New Roman" w:hAnsi="Times New Roman" w:cs="Times New Roman"/>
          <w:color w:val="222222"/>
          <w:sz w:val="24"/>
          <w:szCs w:val="24"/>
          <w:shd w:val="clear" w:color="auto" w:fill="FFFFFF"/>
        </w:rPr>
        <w:t>(3), 193-204.</w:t>
      </w:r>
    </w:p>
    <w:p w:rsidR="003D6573" w:rsidRPr="003C7DBE" w:rsidRDefault="003D6573" w:rsidP="00091F76">
      <w:pPr>
        <w:tabs>
          <w:tab w:val="left" w:pos="720"/>
        </w:tabs>
        <w:spacing w:after="0" w:line="480" w:lineRule="auto"/>
        <w:ind w:left="720" w:hanging="720"/>
        <w:contextualSpacing/>
        <w:jc w:val="both"/>
        <w:rPr>
          <w:rFonts w:ascii="Times New Roman" w:hAnsi="Times New Roman" w:cs="Times New Roman"/>
          <w:color w:val="222222"/>
          <w:sz w:val="24"/>
          <w:szCs w:val="24"/>
          <w:shd w:val="clear" w:color="auto" w:fill="FFFFFF"/>
        </w:rPr>
      </w:pPr>
      <w:r w:rsidRPr="003C7DBE">
        <w:rPr>
          <w:rFonts w:ascii="Times New Roman" w:hAnsi="Times New Roman" w:cs="Times New Roman"/>
          <w:color w:val="222222"/>
          <w:sz w:val="24"/>
          <w:szCs w:val="24"/>
          <w:shd w:val="clear" w:color="auto" w:fill="FFFFFF"/>
        </w:rPr>
        <w:t>Riccucci, N. (2018). </w:t>
      </w:r>
      <w:r w:rsidRPr="003C7DBE">
        <w:rPr>
          <w:rFonts w:ascii="Times New Roman" w:hAnsi="Times New Roman" w:cs="Times New Roman"/>
          <w:i/>
          <w:iCs/>
          <w:color w:val="222222"/>
          <w:sz w:val="24"/>
          <w:szCs w:val="24"/>
          <w:shd w:val="clear" w:color="auto" w:fill="FFFFFF"/>
        </w:rPr>
        <w:t xml:space="preserve">Managing Diversity </w:t>
      </w:r>
      <w:r w:rsidR="00091F76" w:rsidRPr="003C7DBE">
        <w:rPr>
          <w:rFonts w:ascii="Times New Roman" w:hAnsi="Times New Roman" w:cs="Times New Roman"/>
          <w:i/>
          <w:iCs/>
          <w:color w:val="222222"/>
          <w:sz w:val="24"/>
          <w:szCs w:val="24"/>
          <w:shd w:val="clear" w:color="auto" w:fill="FFFFFF"/>
        </w:rPr>
        <w:t>in</w:t>
      </w:r>
      <w:r w:rsidRPr="003C7DBE">
        <w:rPr>
          <w:rFonts w:ascii="Times New Roman" w:hAnsi="Times New Roman" w:cs="Times New Roman"/>
          <w:i/>
          <w:iCs/>
          <w:color w:val="222222"/>
          <w:sz w:val="24"/>
          <w:szCs w:val="24"/>
          <w:shd w:val="clear" w:color="auto" w:fill="FFFFFF"/>
        </w:rPr>
        <w:t xml:space="preserve"> Public Sector Workforces: Essentials </w:t>
      </w:r>
      <w:r w:rsidR="00091F76" w:rsidRPr="003C7DBE">
        <w:rPr>
          <w:rFonts w:ascii="Times New Roman" w:hAnsi="Times New Roman" w:cs="Times New Roman"/>
          <w:i/>
          <w:iCs/>
          <w:color w:val="222222"/>
          <w:sz w:val="24"/>
          <w:szCs w:val="24"/>
          <w:shd w:val="clear" w:color="auto" w:fill="FFFFFF"/>
        </w:rPr>
        <w:t>of</w:t>
      </w:r>
      <w:r w:rsidRPr="003C7DBE">
        <w:rPr>
          <w:rFonts w:ascii="Times New Roman" w:hAnsi="Times New Roman" w:cs="Times New Roman"/>
          <w:i/>
          <w:iCs/>
          <w:color w:val="222222"/>
          <w:sz w:val="24"/>
          <w:szCs w:val="24"/>
          <w:shd w:val="clear" w:color="auto" w:fill="FFFFFF"/>
        </w:rPr>
        <w:t xml:space="preserve"> Public Policy </w:t>
      </w:r>
      <w:r w:rsidR="00091F76" w:rsidRPr="003C7DBE">
        <w:rPr>
          <w:rFonts w:ascii="Times New Roman" w:hAnsi="Times New Roman" w:cs="Times New Roman"/>
          <w:i/>
          <w:iCs/>
          <w:color w:val="222222"/>
          <w:sz w:val="24"/>
          <w:szCs w:val="24"/>
          <w:shd w:val="clear" w:color="auto" w:fill="FFFFFF"/>
        </w:rPr>
        <w:t>and</w:t>
      </w:r>
      <w:r w:rsidRPr="003C7DBE">
        <w:rPr>
          <w:rFonts w:ascii="Times New Roman" w:hAnsi="Times New Roman" w:cs="Times New Roman"/>
          <w:i/>
          <w:iCs/>
          <w:color w:val="222222"/>
          <w:sz w:val="24"/>
          <w:szCs w:val="24"/>
          <w:shd w:val="clear" w:color="auto" w:fill="FFFFFF"/>
        </w:rPr>
        <w:t xml:space="preserve"> Administration Series</w:t>
      </w:r>
      <w:r w:rsidRPr="003C7DBE">
        <w:rPr>
          <w:rFonts w:ascii="Times New Roman" w:hAnsi="Times New Roman" w:cs="Times New Roman"/>
          <w:color w:val="222222"/>
          <w:sz w:val="24"/>
          <w:szCs w:val="24"/>
          <w:shd w:val="clear" w:color="auto" w:fill="FFFFFF"/>
        </w:rPr>
        <w:t>. Routledge.</w:t>
      </w:r>
    </w:p>
    <w:p w:rsidR="003D6573" w:rsidRDefault="003D6573" w:rsidP="00091F76">
      <w:pPr>
        <w:tabs>
          <w:tab w:val="left" w:pos="2205"/>
        </w:tabs>
        <w:spacing w:after="0" w:line="480" w:lineRule="auto"/>
        <w:contextualSpacing/>
        <w:jc w:val="both"/>
        <w:rPr>
          <w:rFonts w:ascii="Arial" w:hAnsi="Arial" w:cs="Arial"/>
          <w:color w:val="222222"/>
          <w:sz w:val="20"/>
          <w:szCs w:val="20"/>
          <w:shd w:val="clear" w:color="auto" w:fill="FFFFFF"/>
        </w:rPr>
      </w:pPr>
    </w:p>
    <w:p w:rsidR="003D6573" w:rsidRPr="00B534CF" w:rsidRDefault="003D6573" w:rsidP="00091F76">
      <w:pPr>
        <w:tabs>
          <w:tab w:val="left" w:pos="2205"/>
        </w:tabs>
        <w:spacing w:after="0" w:line="480" w:lineRule="auto"/>
        <w:contextualSpacing/>
        <w:jc w:val="both"/>
        <w:rPr>
          <w:rFonts w:ascii="Times New Roman" w:hAnsi="Times New Roman" w:cs="Times New Roman"/>
          <w:sz w:val="24"/>
          <w:szCs w:val="24"/>
        </w:rPr>
      </w:pPr>
    </w:p>
    <w:sectPr w:rsidR="003D6573" w:rsidRPr="00B534CF" w:rsidSect="0056278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3259" w:rsidRDefault="00C03259" w:rsidP="00562785">
      <w:pPr>
        <w:spacing w:after="0" w:line="240" w:lineRule="auto"/>
      </w:pPr>
      <w:r>
        <w:separator/>
      </w:r>
    </w:p>
  </w:endnote>
  <w:endnote w:type="continuationSeparator" w:id="0">
    <w:p w:rsidR="00C03259" w:rsidRDefault="00C03259" w:rsidP="00562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3259" w:rsidRDefault="00C03259" w:rsidP="00562785">
      <w:pPr>
        <w:spacing w:after="0" w:line="240" w:lineRule="auto"/>
      </w:pPr>
      <w:r>
        <w:separator/>
      </w:r>
    </w:p>
  </w:footnote>
  <w:footnote w:type="continuationSeparator" w:id="0">
    <w:p w:rsidR="00C03259" w:rsidRDefault="00C03259" w:rsidP="005627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785" w:rsidRPr="00091F76" w:rsidRDefault="00091F76">
    <w:pPr>
      <w:pStyle w:val="Header"/>
      <w:rPr>
        <w:rFonts w:ascii="Times New Roman" w:hAnsi="Times New Roman" w:cs="Times New Roman"/>
        <w:sz w:val="24"/>
        <w:szCs w:val="24"/>
      </w:rPr>
    </w:pPr>
    <w:r w:rsidRPr="00562785">
      <w:rPr>
        <w:rFonts w:ascii="Times New Roman" w:hAnsi="Times New Roman" w:cs="Times New Roman"/>
        <w:sz w:val="24"/>
        <w:szCs w:val="24"/>
      </w:rPr>
      <w:t>WORK FORCE DIVERSITY</w:t>
    </w:r>
    <w:sdt>
      <w:sdtPr>
        <w:rPr>
          <w:rFonts w:ascii="Times New Roman" w:hAnsi="Times New Roman" w:cs="Times New Roman"/>
          <w:sz w:val="24"/>
          <w:szCs w:val="24"/>
        </w:rPr>
        <w:id w:val="-180538578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62785">
          <w:rPr>
            <w:rFonts w:ascii="Times New Roman" w:hAnsi="Times New Roman" w:cs="Times New Roman"/>
            <w:sz w:val="24"/>
            <w:szCs w:val="24"/>
          </w:rPr>
          <w:fldChar w:fldCharType="begin"/>
        </w:r>
        <w:r w:rsidRPr="00562785">
          <w:rPr>
            <w:rFonts w:ascii="Times New Roman" w:hAnsi="Times New Roman" w:cs="Times New Roman"/>
            <w:sz w:val="24"/>
            <w:szCs w:val="24"/>
          </w:rPr>
          <w:instrText xml:space="preserve"> PAGE   \* MERGEFORMAT </w:instrText>
        </w:r>
        <w:r w:rsidRPr="00562785">
          <w:rPr>
            <w:rFonts w:ascii="Times New Roman" w:hAnsi="Times New Roman" w:cs="Times New Roman"/>
            <w:sz w:val="24"/>
            <w:szCs w:val="24"/>
          </w:rPr>
          <w:fldChar w:fldCharType="separate"/>
        </w:r>
        <w:r w:rsidR="00342037">
          <w:rPr>
            <w:rFonts w:ascii="Times New Roman" w:hAnsi="Times New Roman" w:cs="Times New Roman"/>
            <w:noProof/>
            <w:sz w:val="24"/>
            <w:szCs w:val="24"/>
          </w:rPr>
          <w:t>4</w:t>
        </w:r>
        <w:r w:rsidRPr="0056278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2785" w:rsidRPr="00562785" w:rsidRDefault="00091F76">
    <w:pPr>
      <w:pStyle w:val="Header"/>
      <w:rPr>
        <w:rFonts w:ascii="Times New Roman" w:hAnsi="Times New Roman" w:cs="Times New Roman"/>
        <w:sz w:val="24"/>
        <w:szCs w:val="24"/>
      </w:rPr>
    </w:pPr>
    <w:r>
      <w:rPr>
        <w:rFonts w:ascii="Times New Roman" w:hAnsi="Times New Roman" w:cs="Times New Roman"/>
        <w:sz w:val="24"/>
        <w:szCs w:val="24"/>
      </w:rPr>
      <w:t>Running h</w:t>
    </w:r>
    <w:r w:rsidR="00562785" w:rsidRPr="00562785">
      <w:rPr>
        <w:rFonts w:ascii="Times New Roman" w:hAnsi="Times New Roman" w:cs="Times New Roman"/>
        <w:sz w:val="24"/>
        <w:szCs w:val="24"/>
      </w:rPr>
      <w:t>ead: WORK FORCE DIVERSITY</w:t>
    </w:r>
    <w:sdt>
      <w:sdtPr>
        <w:rPr>
          <w:rFonts w:ascii="Times New Roman" w:hAnsi="Times New Roman" w:cs="Times New Roman"/>
          <w:sz w:val="24"/>
          <w:szCs w:val="24"/>
        </w:rPr>
        <w:id w:val="-1233770005"/>
        <w:docPartObj>
          <w:docPartGallery w:val="Page Numbers (Top of Page)"/>
          <w:docPartUnique/>
        </w:docPartObj>
      </w:sdtPr>
      <w:sdtEndPr>
        <w:rPr>
          <w:noProof/>
        </w:rPr>
      </w:sdtEndPr>
      <w:sdtContent>
        <w:r w:rsidR="00562785">
          <w:rPr>
            <w:rFonts w:ascii="Times New Roman" w:hAnsi="Times New Roman" w:cs="Times New Roman"/>
            <w:sz w:val="24"/>
            <w:szCs w:val="24"/>
          </w:rPr>
          <w:tab/>
        </w:r>
        <w:r w:rsidR="00562785">
          <w:rPr>
            <w:rFonts w:ascii="Times New Roman" w:hAnsi="Times New Roman" w:cs="Times New Roman"/>
            <w:sz w:val="24"/>
            <w:szCs w:val="24"/>
          </w:rPr>
          <w:tab/>
        </w:r>
        <w:r w:rsidR="0059744F" w:rsidRPr="00562785">
          <w:rPr>
            <w:rFonts w:ascii="Times New Roman" w:hAnsi="Times New Roman" w:cs="Times New Roman"/>
            <w:sz w:val="24"/>
            <w:szCs w:val="24"/>
          </w:rPr>
          <w:fldChar w:fldCharType="begin"/>
        </w:r>
        <w:r w:rsidR="00562785" w:rsidRPr="00562785">
          <w:rPr>
            <w:rFonts w:ascii="Times New Roman" w:hAnsi="Times New Roman" w:cs="Times New Roman"/>
            <w:sz w:val="24"/>
            <w:szCs w:val="24"/>
          </w:rPr>
          <w:instrText xml:space="preserve"> PAGE   \* MERGEFORMAT </w:instrText>
        </w:r>
        <w:r w:rsidR="0059744F" w:rsidRPr="00562785">
          <w:rPr>
            <w:rFonts w:ascii="Times New Roman" w:hAnsi="Times New Roman" w:cs="Times New Roman"/>
            <w:sz w:val="24"/>
            <w:szCs w:val="24"/>
          </w:rPr>
          <w:fldChar w:fldCharType="separate"/>
        </w:r>
        <w:r w:rsidR="00342037">
          <w:rPr>
            <w:rFonts w:ascii="Times New Roman" w:hAnsi="Times New Roman" w:cs="Times New Roman"/>
            <w:noProof/>
            <w:sz w:val="24"/>
            <w:szCs w:val="24"/>
          </w:rPr>
          <w:t>1</w:t>
        </w:r>
        <w:r w:rsidR="0059744F" w:rsidRPr="00562785">
          <w:rPr>
            <w:rFonts w:ascii="Times New Roman" w:hAnsi="Times New Roman" w:cs="Times New Roman"/>
            <w:noProof/>
            <w:sz w:val="24"/>
            <w:szCs w:val="24"/>
          </w:rPr>
          <w:fldChar w:fldCharType="end"/>
        </w:r>
      </w:sdtContent>
    </w:sdt>
  </w:p>
  <w:p w:rsidR="00562785" w:rsidRDefault="005627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785"/>
    <w:rsid w:val="00063BB1"/>
    <w:rsid w:val="00091F76"/>
    <w:rsid w:val="000A1022"/>
    <w:rsid w:val="00164FA3"/>
    <w:rsid w:val="00244B47"/>
    <w:rsid w:val="00266BAA"/>
    <w:rsid w:val="002D5FC1"/>
    <w:rsid w:val="00342037"/>
    <w:rsid w:val="003C7DBE"/>
    <w:rsid w:val="003D6573"/>
    <w:rsid w:val="00562785"/>
    <w:rsid w:val="0059744F"/>
    <w:rsid w:val="006A0F09"/>
    <w:rsid w:val="008F3529"/>
    <w:rsid w:val="009B7B75"/>
    <w:rsid w:val="00B03010"/>
    <w:rsid w:val="00B534CF"/>
    <w:rsid w:val="00B60C35"/>
    <w:rsid w:val="00BF41C5"/>
    <w:rsid w:val="00C03259"/>
    <w:rsid w:val="00D12B72"/>
    <w:rsid w:val="00D90916"/>
    <w:rsid w:val="00DA0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862EF3-4385-4E0D-BB20-A01671A05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74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2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785"/>
  </w:style>
  <w:style w:type="paragraph" w:styleId="Footer">
    <w:name w:val="footer"/>
    <w:basedOn w:val="Normal"/>
    <w:link w:val="FooterChar"/>
    <w:uiPriority w:val="99"/>
    <w:unhideWhenUsed/>
    <w:rsid w:val="00562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27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624</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admin</cp:lastModifiedBy>
  <cp:revision>2</cp:revision>
  <dcterms:created xsi:type="dcterms:W3CDTF">2018-10-13T19:29:00Z</dcterms:created>
  <dcterms:modified xsi:type="dcterms:W3CDTF">2018-10-13T19:29:00Z</dcterms:modified>
</cp:coreProperties>
</file>